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 w:rsidRPr="00772779">
        <w:t xml:space="preserve">A2C2 </w:t>
      </w:r>
      <w:r w:rsidR="00772779" w:rsidRPr="00772779">
        <w:t>Minutes</w:t>
      </w:r>
      <w:r w:rsidRPr="00772779">
        <w:t xml:space="preserve"> for </w:t>
      </w:r>
      <w:r w:rsidR="00D50523">
        <w:t>September 12, 2012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53506B" w:rsidRDefault="0053506B" w:rsidP="00D0034B"/>
    <w:p w:rsidR="00D0034B" w:rsidRDefault="00D0034B" w:rsidP="00D0034B">
      <w:r>
        <w:t>Attendees:</w:t>
      </w:r>
      <w:r w:rsidR="0053506B">
        <w:t xml:space="preserve">  Ed Thompson, Pat Paulson, Charles Schreiber, Ron Elcombe, Jeff </w:t>
      </w:r>
      <w:proofErr w:type="spellStart"/>
      <w:r w:rsidR="0053506B">
        <w:t>Draskoci</w:t>
      </w:r>
      <w:proofErr w:type="spellEnd"/>
      <w:r w:rsidR="0053506B">
        <w:t xml:space="preserve">-Johnson, </w:t>
      </w:r>
      <w:proofErr w:type="spellStart"/>
      <w:r w:rsidR="0053506B">
        <w:t>Tammi</w:t>
      </w:r>
      <w:proofErr w:type="spellEnd"/>
      <w:r w:rsidR="0053506B">
        <w:t xml:space="preserve"> Owens, Fred Otto, </w:t>
      </w:r>
      <w:r w:rsidR="007E08C1">
        <w:t xml:space="preserve">Steve Allard, Matt Bosworth, Rinnel Atherton, Amy Hermodson, Heather Williams, Tim </w:t>
      </w:r>
      <w:proofErr w:type="spellStart"/>
      <w:r w:rsidR="007E08C1">
        <w:t>Gegg</w:t>
      </w:r>
      <w:proofErr w:type="spellEnd"/>
      <w:r w:rsidR="007E08C1">
        <w:t xml:space="preserve">-Harrison, Dan Kauffman, Larry Bergin, Sue Davies, Jeanne Danneker, </w:t>
      </w:r>
      <w:r w:rsidR="000E5212">
        <w:t xml:space="preserve">Sara Hein, Eric Brisson, </w:t>
      </w:r>
      <w:r w:rsidR="00610663">
        <w:t>Myles Weber, Connie Mettille, Weidong Zhang</w:t>
      </w:r>
    </w:p>
    <w:p w:rsidR="00D0034B" w:rsidRDefault="00D0034B" w:rsidP="00D0034B"/>
    <w:p w:rsidR="00D0034B" w:rsidRDefault="00D0034B" w:rsidP="00D0034B">
      <w:r>
        <w:t>Guests:</w:t>
      </w:r>
      <w:r w:rsidR="00610663">
        <w:t xml:space="preserve">  </w:t>
      </w:r>
      <w:r w:rsidR="000C4171">
        <w:t>Elissa Alzate, Amy</w:t>
      </w:r>
      <w:r w:rsidR="00BC25E5">
        <w:t xml:space="preserve"> </w:t>
      </w:r>
      <w:r w:rsidR="000C4171">
        <w:t>Meyer, Rita RahoiGilchrest, Lori Beseler</w:t>
      </w:r>
    </w:p>
    <w:p w:rsidR="00D0034B" w:rsidRDefault="00D0034B" w:rsidP="00D0034B"/>
    <w:p w:rsidR="00C573DA" w:rsidRDefault="00C573DA" w:rsidP="00D0034B"/>
    <w:p w:rsidR="00C573DA" w:rsidRDefault="00C573DA" w:rsidP="00C573DA">
      <w:pPr>
        <w:numPr>
          <w:ilvl w:val="0"/>
          <w:numId w:val="1"/>
        </w:numPr>
      </w:pPr>
      <w:r>
        <w:t>Call to Order</w:t>
      </w:r>
      <w:r w:rsidR="00D0034B">
        <w:t>-the meeting was called to order at 3:</w:t>
      </w:r>
      <w:r w:rsidR="00952F08">
        <w:t>33</w:t>
      </w:r>
      <w:r w:rsidR="00D0034B">
        <w:t xml:space="preserve"> pm by </w:t>
      </w:r>
      <w:r w:rsidR="00952F08">
        <w:t>Ed Thompson</w:t>
      </w:r>
      <w:r w:rsidR="00D0034B">
        <w:t>.</w:t>
      </w:r>
    </w:p>
    <w:p w:rsidR="00C573DA" w:rsidRPr="00BC25E5" w:rsidRDefault="00C573DA" w:rsidP="00C573DA"/>
    <w:p w:rsidR="00C573DA" w:rsidRPr="00BC25E5" w:rsidRDefault="00C573DA" w:rsidP="00C573DA">
      <w:pPr>
        <w:numPr>
          <w:ilvl w:val="0"/>
          <w:numId w:val="1"/>
        </w:numPr>
      </w:pPr>
      <w:r w:rsidRPr="00BC25E5">
        <w:t>Adoption of Agenda</w:t>
      </w:r>
      <w:r w:rsidR="005B4C60" w:rsidRPr="00BC25E5">
        <w:t xml:space="preserve"> </w:t>
      </w:r>
      <w:r w:rsidR="002D3E49" w:rsidRPr="00BC25E5">
        <w:t>(See additions)</w:t>
      </w:r>
      <w:r w:rsidR="008E2AEE" w:rsidRPr="00BC25E5">
        <w:t xml:space="preserve"> m/s Elcombe/Bergin- agenda adopted as shown.</w:t>
      </w:r>
    </w:p>
    <w:p w:rsidR="003E3DF1" w:rsidRPr="00BC25E5" w:rsidRDefault="003E3DF1" w:rsidP="003E3DF1">
      <w:pPr>
        <w:pStyle w:val="ListParagraph"/>
      </w:pPr>
    </w:p>
    <w:p w:rsidR="003E3DF1" w:rsidRPr="00BC25E5" w:rsidRDefault="003E3DF1" w:rsidP="003E3DF1">
      <w:pPr>
        <w:pStyle w:val="ListParagraph"/>
        <w:numPr>
          <w:ilvl w:val="1"/>
          <w:numId w:val="1"/>
        </w:numPr>
      </w:pPr>
      <w:r w:rsidRPr="00BC25E5">
        <w:t>IX. New Business:</w:t>
      </w:r>
    </w:p>
    <w:p w:rsidR="003E3DF1" w:rsidRPr="00BC25E5" w:rsidRDefault="003E3DF1" w:rsidP="003E3DF1">
      <w:pPr>
        <w:pStyle w:val="ListParagraph"/>
        <w:numPr>
          <w:ilvl w:val="2"/>
          <w:numId w:val="1"/>
        </w:numPr>
      </w:pPr>
      <w:r w:rsidRPr="00BC25E5">
        <w:t>MNSCU Forms for New and Revised Programs: Lori Beseler</w:t>
      </w:r>
    </w:p>
    <w:p w:rsidR="003E3DF1" w:rsidRPr="00BC25E5" w:rsidRDefault="003E3DF1" w:rsidP="003E3DF1">
      <w:pPr>
        <w:numPr>
          <w:ilvl w:val="2"/>
          <w:numId w:val="1"/>
        </w:numPr>
      </w:pPr>
      <w:r w:rsidRPr="00BC25E5">
        <w:t>Course Outlines: Lori Beseler</w:t>
      </w:r>
    </w:p>
    <w:p w:rsidR="003E3DF1" w:rsidRPr="00BC25E5" w:rsidRDefault="00201D3B" w:rsidP="003E3DF1">
      <w:pPr>
        <w:numPr>
          <w:ilvl w:val="1"/>
          <w:numId w:val="1"/>
        </w:numPr>
      </w:pPr>
      <w:r w:rsidRPr="00BC25E5">
        <w:t>VII.  Notifications:</w:t>
      </w:r>
    </w:p>
    <w:p w:rsidR="00201D3B" w:rsidRPr="00BC25E5" w:rsidRDefault="00201D3B" w:rsidP="00201D3B">
      <w:pPr>
        <w:pStyle w:val="ListParagraph"/>
        <w:numPr>
          <w:ilvl w:val="2"/>
          <w:numId w:val="1"/>
        </w:numPr>
      </w:pPr>
      <w:r w:rsidRPr="00BC25E5">
        <w:t>English: Change in existing major, minor, option, concentration, etc.</w:t>
      </w:r>
    </w:p>
    <w:p w:rsidR="00201D3B" w:rsidRPr="00BC25E5" w:rsidRDefault="00201D3B" w:rsidP="00201D3B">
      <w:pPr>
        <w:numPr>
          <w:ilvl w:val="2"/>
          <w:numId w:val="1"/>
        </w:numPr>
      </w:pPr>
      <w:r w:rsidRPr="00BC25E5">
        <w:t>Other</w:t>
      </w:r>
    </w:p>
    <w:p w:rsidR="00D50523" w:rsidRDefault="00D50523" w:rsidP="00D50523"/>
    <w:p w:rsidR="008E2AEE" w:rsidRPr="003A1F3A" w:rsidRDefault="00C573DA" w:rsidP="008E2AEE">
      <w:pPr>
        <w:rPr>
          <w:highlight w:val="yellow"/>
        </w:rPr>
      </w:pPr>
      <w:r>
        <w:t>Approval of Minutes</w:t>
      </w:r>
      <w:r w:rsidR="00E81F22">
        <w:t xml:space="preserve">: </w:t>
      </w:r>
      <w:r w:rsidR="002B2DE3">
        <w:t>August 29, 2012</w:t>
      </w:r>
      <w:r w:rsidR="008E2AEE">
        <w:t xml:space="preserve"> m/s Elcombe/Danneker move</w:t>
      </w:r>
      <w:r w:rsidR="003A1F3A">
        <w:t>d</w:t>
      </w:r>
      <w:r w:rsidR="008E2AEE">
        <w:t xml:space="preserve"> to approve</w:t>
      </w:r>
      <w:r w:rsidR="003A1F3A">
        <w:t xml:space="preserve"> minutes</w:t>
      </w:r>
      <w:r w:rsidR="008E2AEE">
        <w:t xml:space="preserve"> with change to GEP summary from</w:t>
      </w:r>
      <w:proofErr w:type="gramStart"/>
      <w:r w:rsidR="008E2AEE">
        <w:t>:</w:t>
      </w:r>
      <w:proofErr w:type="gramEnd"/>
      <w:r w:rsidR="008E2AEE">
        <w:br/>
      </w:r>
      <w:r w:rsidR="008E2AEE" w:rsidRPr="003A1F3A">
        <w:rPr>
          <w:highlight w:val="yellow"/>
        </w:rPr>
        <w:t>“Progress report should indicate that juniors in 2015 are doing better than freshmen in 2013- based on a random sampling of freshmen in 2013.”</w:t>
      </w:r>
    </w:p>
    <w:p w:rsidR="008E2AEE" w:rsidRPr="003A1F3A" w:rsidRDefault="008E2AEE" w:rsidP="008E2AEE">
      <w:r w:rsidRPr="003A1F3A">
        <w:rPr>
          <w:highlight w:val="yellow"/>
        </w:rPr>
        <w:br/>
      </w:r>
      <w:r w:rsidRPr="003A1F3A">
        <w:rPr>
          <w:highlight w:val="yellow"/>
        </w:rPr>
        <w:br/>
        <w:t xml:space="preserve">to: “If we randomly sampled across class ranks every three years using the ETS Proficiency Profile, theoretically we should see students at the </w:t>
      </w:r>
      <w:proofErr w:type="spellStart"/>
      <w:r w:rsidRPr="003A1F3A">
        <w:rPr>
          <w:highlight w:val="yellow"/>
        </w:rPr>
        <w:t>freshperson</w:t>
      </w:r>
      <w:proofErr w:type="spellEnd"/>
      <w:r w:rsidRPr="003A1F3A">
        <w:rPr>
          <w:highlight w:val="yellow"/>
        </w:rPr>
        <w:t xml:space="preserve"> level scoring higher when they are sampled again three years later and there should be a gradual progression across all class ranks.”</w:t>
      </w:r>
      <w:r w:rsidRPr="003A1F3A">
        <w:t xml:space="preserve">  </w:t>
      </w:r>
    </w:p>
    <w:p w:rsidR="00C573DA" w:rsidRDefault="00C573DA" w:rsidP="00C573DA">
      <w:pPr>
        <w:numPr>
          <w:ilvl w:val="0"/>
          <w:numId w:val="1"/>
        </w:numPr>
      </w:pPr>
    </w:p>
    <w:p w:rsidR="00C573DA" w:rsidRDefault="00C573DA" w:rsidP="00C573DA"/>
    <w:p w:rsidR="00AE570E" w:rsidRDefault="00C573DA" w:rsidP="00C573DA">
      <w:pPr>
        <w:numPr>
          <w:ilvl w:val="0"/>
          <w:numId w:val="1"/>
        </w:numPr>
      </w:pPr>
      <w:r>
        <w:t>Chair’s Report</w:t>
      </w:r>
      <w:r w:rsidR="002D3E49">
        <w:t xml:space="preserve">: </w:t>
      </w:r>
    </w:p>
    <w:p w:rsidR="00AE570E" w:rsidRDefault="00AE570E" w:rsidP="00AE570E">
      <w:pPr>
        <w:pStyle w:val="ListParagraph"/>
      </w:pPr>
    </w:p>
    <w:p w:rsidR="00C573DA" w:rsidRDefault="002D3E49" w:rsidP="00AE570E">
      <w:pPr>
        <w:numPr>
          <w:ilvl w:val="1"/>
          <w:numId w:val="1"/>
        </w:numPr>
      </w:pPr>
      <w:r>
        <w:t>Thank you to Ed Thompson for chairing the meeting!</w:t>
      </w:r>
      <w:r w:rsidR="009954DD">
        <w:t xml:space="preserve">  Ed Thompson was elected chair of the CPPS subcommittee.</w:t>
      </w:r>
    </w:p>
    <w:p w:rsidR="00AE570E" w:rsidRPr="00BC25E5" w:rsidRDefault="00AE570E" w:rsidP="00AE570E">
      <w:pPr>
        <w:numPr>
          <w:ilvl w:val="1"/>
          <w:numId w:val="1"/>
        </w:numPr>
        <w:rPr>
          <w:b/>
        </w:rPr>
      </w:pPr>
      <w:r w:rsidRPr="00BC25E5">
        <w:rPr>
          <w:b/>
        </w:rPr>
        <w:t xml:space="preserve">Once again, trouble with Contribute. </w:t>
      </w:r>
      <w:proofErr w:type="spellStart"/>
      <w:r w:rsidR="003A1F3A" w:rsidRPr="00BC25E5">
        <w:rPr>
          <w:b/>
        </w:rPr>
        <w:t>ChairAnn</w:t>
      </w:r>
      <w:proofErr w:type="spellEnd"/>
      <w:r w:rsidR="003A1F3A" w:rsidRPr="00BC25E5">
        <w:rPr>
          <w:b/>
        </w:rPr>
        <w:t xml:space="preserve"> Rethlefsen is </w:t>
      </w:r>
      <w:r w:rsidRPr="00BC25E5">
        <w:rPr>
          <w:b/>
        </w:rPr>
        <w:t xml:space="preserve">trying to post the courses for GEPS and CPPS. </w:t>
      </w:r>
    </w:p>
    <w:p w:rsidR="00D0412C" w:rsidRDefault="00D0412C" w:rsidP="00D0412C">
      <w:pPr>
        <w:pStyle w:val="ListParagraph"/>
      </w:pPr>
    </w:p>
    <w:p w:rsidR="00D0412C" w:rsidRDefault="00D0412C" w:rsidP="00D0412C">
      <w:pPr>
        <w:numPr>
          <w:ilvl w:val="1"/>
          <w:numId w:val="1"/>
        </w:numPr>
      </w:pPr>
      <w:r>
        <w:t>CE 300: Academic Planning and Career Foundations</w:t>
      </w:r>
      <w:r w:rsidR="009954DD">
        <w:t>.  Recommendation passes A2C2.</w:t>
      </w:r>
    </w:p>
    <w:p w:rsidR="00D0412C" w:rsidRDefault="00D0412C" w:rsidP="00D0412C">
      <w:pPr>
        <w:numPr>
          <w:ilvl w:val="1"/>
          <w:numId w:val="1"/>
        </w:numPr>
      </w:pPr>
      <w:r>
        <w:t>Other?</w:t>
      </w:r>
      <w:r w:rsidR="009954DD">
        <w:t xml:space="preserve"> The last date to submit CPPS proposals for Fall 2013 will probably be sometime in February 2013 for new/revised courses and programs, the committee will need more time than last year due to the crush of the last minute workload.</w:t>
      </w:r>
    </w:p>
    <w:p w:rsidR="00C573DA" w:rsidRDefault="00C573DA" w:rsidP="00C573DA"/>
    <w:p w:rsidR="00515323" w:rsidRDefault="00C573DA" w:rsidP="00515323">
      <w:pPr>
        <w:pStyle w:val="ListParagraph"/>
        <w:numPr>
          <w:ilvl w:val="0"/>
          <w:numId w:val="1"/>
        </w:numPr>
      </w:pPr>
      <w:r>
        <w:t>Course &amp; Program Proposal Subcommittee</w:t>
      </w:r>
      <w:r w:rsidR="002B2DE3">
        <w:t xml:space="preserve"> Report: Ed Thompson</w:t>
      </w:r>
      <w:r w:rsidR="00AD17CB">
        <w:t>; report not received in time to include in this agenda. It will be available at the meeting.</w:t>
      </w:r>
    </w:p>
    <w:p w:rsidR="004A45CA" w:rsidRDefault="004A45CA" w:rsidP="004A45CA">
      <w:pPr>
        <w:pStyle w:val="ListParagraph"/>
      </w:pPr>
    </w:p>
    <w:p w:rsidR="004A45CA" w:rsidRDefault="004A45CA" w:rsidP="004A45C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01"/>
        <w:gridCol w:w="4035"/>
      </w:tblGrid>
      <w:tr w:rsidR="00515323" w:rsidTr="00370002">
        <w:tc>
          <w:tcPr>
            <w:tcW w:w="4428" w:type="dxa"/>
          </w:tcPr>
          <w:p w:rsidR="00515323" w:rsidRPr="00E27B2B" w:rsidRDefault="00515323" w:rsidP="003700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REPRESENTATIVE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COLLEGE</w:t>
            </w:r>
          </w:p>
        </w:tc>
      </w:tr>
      <w:tr w:rsidR="00515323" w:rsidTr="00370002">
        <w:tc>
          <w:tcPr>
            <w:tcW w:w="4428" w:type="dxa"/>
          </w:tcPr>
          <w:p w:rsidR="00515323" w:rsidRPr="00AC09FF" w:rsidRDefault="00515323" w:rsidP="0037000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50523">
              <w:rPr>
                <w:rFonts w:asciiTheme="minorHAnsi" w:hAnsiTheme="minorHAnsi"/>
                <w:sz w:val="22"/>
                <w:szCs w:val="22"/>
              </w:rPr>
              <w:t>Ed Thompson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Science &amp; Engineering</w:t>
            </w:r>
          </w:p>
        </w:tc>
      </w:tr>
      <w:tr w:rsidR="00515323" w:rsidTr="00D50523">
        <w:trPr>
          <w:trHeight w:val="98"/>
        </w:trPr>
        <w:tc>
          <w:tcPr>
            <w:tcW w:w="4428" w:type="dxa"/>
          </w:tcPr>
          <w:p w:rsidR="00515323" w:rsidRPr="00AC09FF" w:rsidRDefault="00D50523" w:rsidP="0037000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spellStart"/>
            <w:r w:rsidRPr="00D50523">
              <w:rPr>
                <w:rFonts w:asciiTheme="minorHAnsi" w:hAnsiTheme="minorHAnsi"/>
                <w:sz w:val="22"/>
                <w:szCs w:val="22"/>
              </w:rPr>
              <w:t>Bhaskar</w:t>
            </w:r>
            <w:proofErr w:type="spellEnd"/>
            <w:r w:rsidRPr="00D50523">
              <w:rPr>
                <w:rFonts w:asciiTheme="minorHAnsi" w:hAnsiTheme="minorHAnsi"/>
                <w:sz w:val="22"/>
                <w:szCs w:val="22"/>
              </w:rPr>
              <w:t xml:space="preserve"> Iyengar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Science &amp; Engineering</w:t>
            </w:r>
          </w:p>
        </w:tc>
      </w:tr>
      <w:tr w:rsidR="00515323" w:rsidTr="00370002">
        <w:tc>
          <w:tcPr>
            <w:tcW w:w="4428" w:type="dxa"/>
          </w:tcPr>
          <w:p w:rsidR="00515323" w:rsidRPr="00C86B68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 w:rsidRPr="00C86B68">
              <w:rPr>
                <w:rFonts w:asciiTheme="minorHAnsi" w:hAnsiTheme="minorHAnsi"/>
                <w:sz w:val="22"/>
                <w:szCs w:val="22"/>
              </w:rPr>
              <w:t>Rhea Walker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Education</w:t>
            </w:r>
          </w:p>
        </w:tc>
      </w:tr>
      <w:tr w:rsidR="00515323" w:rsidTr="00370002">
        <w:tc>
          <w:tcPr>
            <w:tcW w:w="4428" w:type="dxa"/>
          </w:tcPr>
          <w:p w:rsidR="00515323" w:rsidRPr="00C86B68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 w:rsidRPr="00C86B68">
              <w:rPr>
                <w:rFonts w:asciiTheme="minorHAnsi" w:hAnsiTheme="minorHAnsi"/>
                <w:sz w:val="22"/>
                <w:szCs w:val="22"/>
              </w:rPr>
              <w:t>Penny Warner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Education</w:t>
            </w:r>
          </w:p>
        </w:tc>
      </w:tr>
      <w:tr w:rsidR="00515323" w:rsidTr="00370002">
        <w:tc>
          <w:tcPr>
            <w:tcW w:w="4428" w:type="dxa"/>
          </w:tcPr>
          <w:p w:rsidR="00515323" w:rsidRPr="00AC09FF" w:rsidRDefault="00515323" w:rsidP="0037000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15323">
              <w:rPr>
                <w:rFonts w:asciiTheme="minorHAnsi" w:hAnsiTheme="minorHAnsi"/>
                <w:sz w:val="22"/>
                <w:szCs w:val="22"/>
              </w:rPr>
              <w:t>Charles Schreiber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Liberal Arts</w:t>
            </w:r>
          </w:p>
        </w:tc>
      </w:tr>
      <w:tr w:rsidR="00515323" w:rsidTr="00370002">
        <w:tc>
          <w:tcPr>
            <w:tcW w:w="4428" w:type="dxa"/>
          </w:tcPr>
          <w:p w:rsidR="00515323" w:rsidRPr="00AC09FF" w:rsidRDefault="00515323" w:rsidP="00D5052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50523">
              <w:rPr>
                <w:rFonts w:asciiTheme="minorHAnsi" w:hAnsiTheme="minorHAnsi"/>
                <w:sz w:val="22"/>
                <w:szCs w:val="22"/>
              </w:rPr>
              <w:t xml:space="preserve">Brian Aldrich </w:t>
            </w:r>
            <w:r w:rsidR="00D50523" w:rsidRPr="00D50523">
              <w:rPr>
                <w:rFonts w:asciiTheme="minorHAnsi" w:hAnsiTheme="minorHAnsi"/>
                <w:sz w:val="22"/>
                <w:szCs w:val="22"/>
              </w:rPr>
              <w:t>(1</w:t>
            </w:r>
            <w:r w:rsidR="00D50523" w:rsidRPr="00D50523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D50523" w:rsidRPr="00D50523">
              <w:rPr>
                <w:rFonts w:asciiTheme="minorHAnsi" w:hAnsiTheme="minorHAnsi"/>
                <w:sz w:val="22"/>
                <w:szCs w:val="22"/>
              </w:rPr>
              <w:t xml:space="preserve"> Semester)</w:t>
            </w:r>
            <w:r w:rsidRPr="00D505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Liberal Arts</w:t>
            </w:r>
          </w:p>
        </w:tc>
      </w:tr>
      <w:tr w:rsidR="00515323" w:rsidTr="00370002">
        <w:tc>
          <w:tcPr>
            <w:tcW w:w="4428" w:type="dxa"/>
          </w:tcPr>
          <w:p w:rsidR="00515323" w:rsidRPr="00AC09FF" w:rsidRDefault="00BC25E5" w:rsidP="0037000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Erin White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Nursing &amp; Health Sciences</w:t>
            </w:r>
          </w:p>
        </w:tc>
      </w:tr>
      <w:tr w:rsidR="00515323" w:rsidTr="00370002">
        <w:tc>
          <w:tcPr>
            <w:tcW w:w="4428" w:type="dxa"/>
          </w:tcPr>
          <w:p w:rsidR="00515323" w:rsidRPr="00AC09FF" w:rsidRDefault="00515323" w:rsidP="0037000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6671E">
              <w:rPr>
                <w:rFonts w:asciiTheme="minorHAnsi" w:hAnsiTheme="minorHAnsi"/>
                <w:sz w:val="22"/>
                <w:szCs w:val="22"/>
              </w:rPr>
              <w:t>Linda Smith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Nursing &amp; Health Sciences</w:t>
            </w:r>
          </w:p>
        </w:tc>
      </w:tr>
      <w:tr w:rsidR="00515323" w:rsidTr="00370002">
        <w:tc>
          <w:tcPr>
            <w:tcW w:w="4428" w:type="dxa"/>
          </w:tcPr>
          <w:p w:rsidR="00515323" w:rsidRPr="00A3050E" w:rsidRDefault="00A3050E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Joo</w:t>
            </w:r>
          </w:p>
        </w:tc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Business</w:t>
            </w:r>
          </w:p>
        </w:tc>
      </w:tr>
      <w:tr w:rsidR="00515323" w:rsidTr="00370002">
        <w:tc>
          <w:tcPr>
            <w:tcW w:w="4428" w:type="dxa"/>
          </w:tcPr>
          <w:p w:rsidR="00515323" w:rsidRPr="00E27B2B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8" w:type="dxa"/>
          </w:tcPr>
          <w:p w:rsidR="00515323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College of Business</w:t>
            </w:r>
          </w:p>
        </w:tc>
      </w:tr>
    </w:tbl>
    <w:p w:rsidR="00515323" w:rsidRDefault="00515323" w:rsidP="00515323">
      <w:pPr>
        <w:pStyle w:val="ListParagraph"/>
      </w:pPr>
    </w:p>
    <w:p w:rsidR="00515323" w:rsidRDefault="00515323" w:rsidP="00515323">
      <w:pPr>
        <w:pStyle w:val="ListParagraph"/>
        <w:numPr>
          <w:ilvl w:val="0"/>
          <w:numId w:val="1"/>
        </w:numPr>
      </w:pPr>
      <w:r>
        <w:t xml:space="preserve">General </w:t>
      </w:r>
      <w:r w:rsidR="002B2DE3">
        <w:t xml:space="preserve">Education Program Subcommittee Report: Tim </w:t>
      </w:r>
      <w:proofErr w:type="spellStart"/>
      <w:r w:rsidR="002B2DE3">
        <w:t>Gegg</w:t>
      </w:r>
      <w:proofErr w:type="spellEnd"/>
      <w:r w:rsidR="002B2DE3">
        <w:t>-Harrison</w:t>
      </w:r>
      <w:r w:rsidR="00EC7A42">
        <w:t xml:space="preserve"> </w:t>
      </w:r>
      <w:r w:rsidR="00EC7A42">
        <w:br/>
      </w:r>
      <w:proofErr w:type="gramStart"/>
      <w:r w:rsidR="00EC7A42">
        <w:t>A</w:t>
      </w:r>
      <w:proofErr w:type="gramEnd"/>
      <w:r w:rsidR="00EC7A42">
        <w:t xml:space="preserve"> recommendation for a Wellness Representative has been put forward, Connie Mettille may be doing both.  An update is being planned for the web page.</w:t>
      </w:r>
    </w:p>
    <w:p w:rsidR="00515323" w:rsidRDefault="00515323" w:rsidP="00515323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4"/>
        <w:gridCol w:w="2721"/>
        <w:gridCol w:w="2721"/>
      </w:tblGrid>
      <w:tr w:rsidR="00515323" w:rsidTr="00370002">
        <w:tc>
          <w:tcPr>
            <w:tcW w:w="2952" w:type="dxa"/>
          </w:tcPr>
          <w:p w:rsidR="00515323" w:rsidRPr="00E27B2B" w:rsidRDefault="00515323" w:rsidP="003700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7B2B">
              <w:rPr>
                <w:rFonts w:asciiTheme="minorHAnsi" w:hAnsiTheme="minorHAnsi"/>
                <w:b/>
                <w:sz w:val="22"/>
                <w:szCs w:val="22"/>
              </w:rPr>
              <w:t>GENERAL EDUCATION PROGRAM SUBCOMMITTEE</w:t>
            </w:r>
          </w:p>
        </w:tc>
        <w:tc>
          <w:tcPr>
            <w:tcW w:w="2952" w:type="dxa"/>
          </w:tcPr>
          <w:p w:rsidR="00515323" w:rsidRPr="00E27B2B" w:rsidRDefault="00515323" w:rsidP="003700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7B2B">
              <w:rPr>
                <w:rFonts w:asciiTheme="minorHAnsi" w:hAnsiTheme="minorHAnsi"/>
                <w:b/>
                <w:sz w:val="22"/>
                <w:szCs w:val="22"/>
              </w:rPr>
              <w:t>PROGRAM REPRESENTATION</w:t>
            </w:r>
          </w:p>
        </w:tc>
        <w:tc>
          <w:tcPr>
            <w:tcW w:w="2952" w:type="dxa"/>
          </w:tcPr>
          <w:p w:rsidR="00515323" w:rsidRPr="00E27B2B" w:rsidRDefault="00515323" w:rsidP="003700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7B2B">
              <w:rPr>
                <w:rFonts w:asciiTheme="minorHAnsi" w:hAnsiTheme="minorHAnsi"/>
                <w:b/>
                <w:sz w:val="22"/>
                <w:szCs w:val="22"/>
              </w:rPr>
              <w:t>TERM OF REPRESENTATION</w:t>
            </w:r>
          </w:p>
        </w:tc>
      </w:tr>
      <w:tr w:rsidR="00515323" w:rsidTr="00370002"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515323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52" w:type="dxa"/>
          </w:tcPr>
          <w:p w:rsidR="00515323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323" w:rsidTr="00370002">
        <w:tc>
          <w:tcPr>
            <w:tcW w:w="2952" w:type="dxa"/>
          </w:tcPr>
          <w:p w:rsidR="00515323" w:rsidRPr="00BC25E5" w:rsidRDefault="00BC25E5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Myles Weber</w:t>
            </w:r>
          </w:p>
        </w:tc>
        <w:tc>
          <w:tcPr>
            <w:tcW w:w="2952" w:type="dxa"/>
          </w:tcPr>
          <w:p w:rsidR="00515323" w:rsidRPr="00A02C1D" w:rsidRDefault="00515323" w:rsidP="00B83C44">
            <w:pPr>
              <w:tabs>
                <w:tab w:val="center" w:pos="1252"/>
              </w:tabs>
              <w:rPr>
                <w:rFonts w:asciiTheme="minorHAnsi" w:hAnsiTheme="minorHAnsi"/>
                <w:sz w:val="22"/>
                <w:szCs w:val="22"/>
              </w:rPr>
            </w:pPr>
            <w:r w:rsidRPr="00A02C1D">
              <w:rPr>
                <w:rFonts w:asciiTheme="minorHAnsi" w:hAnsiTheme="minorHAnsi"/>
                <w:sz w:val="22"/>
                <w:szCs w:val="22"/>
              </w:rPr>
              <w:t xml:space="preserve"> English</w:t>
            </w:r>
            <w:r w:rsidR="00B83C44" w:rsidRPr="00A02C1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2952" w:type="dxa"/>
          </w:tcPr>
          <w:p w:rsidR="00515323" w:rsidRPr="00A02C1D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 w:rsidRPr="00A02C1D">
              <w:rPr>
                <w:rFonts w:asciiTheme="minorHAnsi" w:hAnsiTheme="minorHAnsi"/>
                <w:sz w:val="22"/>
                <w:szCs w:val="22"/>
              </w:rPr>
              <w:t xml:space="preserve">2010 – 2013 </w:t>
            </w:r>
          </w:p>
        </w:tc>
      </w:tr>
      <w:tr w:rsidR="00515323" w:rsidTr="00370002">
        <w:tc>
          <w:tcPr>
            <w:tcW w:w="2952" w:type="dxa"/>
          </w:tcPr>
          <w:p w:rsidR="00515323" w:rsidRPr="00CA2380" w:rsidRDefault="00CA2380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Amy Hermodson</w:t>
            </w:r>
          </w:p>
        </w:tc>
        <w:tc>
          <w:tcPr>
            <w:tcW w:w="2952" w:type="dxa"/>
          </w:tcPr>
          <w:p w:rsidR="00515323" w:rsidRPr="00CA2380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 w:rsidRPr="00CA2380">
              <w:rPr>
                <w:rFonts w:asciiTheme="minorHAnsi" w:hAnsiTheme="minorHAnsi"/>
                <w:sz w:val="22"/>
                <w:szCs w:val="22"/>
              </w:rPr>
              <w:t>Communication Studies</w:t>
            </w:r>
          </w:p>
        </w:tc>
        <w:tc>
          <w:tcPr>
            <w:tcW w:w="2952" w:type="dxa"/>
          </w:tcPr>
          <w:p w:rsidR="00515323" w:rsidRPr="00CA2380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 w:rsidRPr="00CA2380">
              <w:rPr>
                <w:rFonts w:asciiTheme="minorHAnsi" w:hAnsiTheme="minorHAnsi"/>
                <w:sz w:val="22"/>
                <w:szCs w:val="22"/>
              </w:rPr>
              <w:t>2012 – 2015</w:t>
            </w:r>
          </w:p>
        </w:tc>
      </w:tr>
      <w:tr w:rsidR="00515323" w:rsidTr="00370002"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Tisha Hooks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Mathematics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2011 – 2014 </w:t>
            </w:r>
          </w:p>
        </w:tc>
      </w:tr>
      <w:tr w:rsidR="00515323" w:rsidTr="00370002"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James Williams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Liberal Arts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2011 – 2014 </w:t>
            </w:r>
          </w:p>
        </w:tc>
      </w:tr>
      <w:tr w:rsidR="00515323" w:rsidTr="00370002"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Tim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Gegg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-Harrison: Chair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Science &amp; Engineering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2011 – 2014 </w:t>
            </w:r>
          </w:p>
        </w:tc>
      </w:tr>
      <w:tr w:rsidR="00515323" w:rsidTr="00370002"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 Kauffman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Business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2010 – 2013 </w:t>
            </w:r>
          </w:p>
        </w:tc>
      </w:tr>
      <w:tr w:rsidR="00515323" w:rsidTr="00370002"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Jeanne Danneker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Education</w:t>
            </w:r>
          </w:p>
        </w:tc>
        <w:tc>
          <w:tcPr>
            <w:tcW w:w="2952" w:type="dxa"/>
          </w:tcPr>
          <w:p w:rsidR="00515323" w:rsidRPr="00184C8F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2010 – 2013 </w:t>
            </w:r>
          </w:p>
        </w:tc>
      </w:tr>
      <w:tr w:rsidR="00515323" w:rsidTr="00370002">
        <w:tc>
          <w:tcPr>
            <w:tcW w:w="2952" w:type="dxa"/>
          </w:tcPr>
          <w:p w:rsidR="00515323" w:rsidRPr="009B6EED" w:rsidRDefault="00EC7A42" w:rsidP="0037000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CONNIE METTILLE</w:t>
            </w:r>
          </w:p>
        </w:tc>
        <w:tc>
          <w:tcPr>
            <w:tcW w:w="2952" w:type="dxa"/>
          </w:tcPr>
          <w:p w:rsidR="00515323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 w:rsidRPr="00AC09FF">
              <w:rPr>
                <w:rFonts w:asciiTheme="minorHAnsi" w:hAnsiTheme="minorHAnsi"/>
                <w:sz w:val="22"/>
                <w:szCs w:val="22"/>
                <w:highlight w:val="yellow"/>
              </w:rPr>
              <w:t>Nursing &amp; Health Sciences</w:t>
            </w:r>
          </w:p>
        </w:tc>
        <w:tc>
          <w:tcPr>
            <w:tcW w:w="2952" w:type="dxa"/>
          </w:tcPr>
          <w:p w:rsidR="00515323" w:rsidRDefault="00515323" w:rsidP="00370002">
            <w:pPr>
              <w:rPr>
                <w:rFonts w:asciiTheme="minorHAnsi" w:hAnsiTheme="minorHAnsi"/>
                <w:sz w:val="22"/>
                <w:szCs w:val="22"/>
              </w:rPr>
            </w:pPr>
            <w:r w:rsidRPr="00180DE2">
              <w:rPr>
                <w:rFonts w:asciiTheme="minorHAnsi" w:hAnsiTheme="minorHAnsi"/>
                <w:sz w:val="22"/>
                <w:szCs w:val="22"/>
                <w:highlight w:val="yellow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12</w:t>
            </w:r>
            <w:r w:rsidRPr="00180DE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– 20</w:t>
            </w:r>
            <w:r w:rsidRPr="00A80BFC">
              <w:rPr>
                <w:rFonts w:asciiTheme="minorHAnsi" w:hAnsiTheme="minorHAnsi"/>
                <w:sz w:val="22"/>
                <w:szCs w:val="22"/>
                <w:highlight w:val="yellow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E579B" w:rsidTr="00370002">
        <w:tc>
          <w:tcPr>
            <w:tcW w:w="2952" w:type="dxa"/>
          </w:tcPr>
          <w:p w:rsidR="001E579B" w:rsidRDefault="00EC7A42" w:rsidP="003700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CONNIE METTILLE?</w:t>
            </w:r>
          </w:p>
        </w:tc>
        <w:tc>
          <w:tcPr>
            <w:tcW w:w="2952" w:type="dxa"/>
          </w:tcPr>
          <w:p w:rsidR="001E579B" w:rsidRPr="00AC09FF" w:rsidRDefault="001E579B" w:rsidP="0037000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Wellness Representative</w:t>
            </w:r>
          </w:p>
        </w:tc>
        <w:tc>
          <w:tcPr>
            <w:tcW w:w="2952" w:type="dxa"/>
          </w:tcPr>
          <w:p w:rsidR="001E579B" w:rsidRPr="00180DE2" w:rsidRDefault="001E579B" w:rsidP="00370002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2012 – 2015 </w:t>
            </w:r>
          </w:p>
        </w:tc>
      </w:tr>
    </w:tbl>
    <w:p w:rsidR="00515323" w:rsidRDefault="00515323" w:rsidP="00515323"/>
    <w:p w:rsidR="00AD17CB" w:rsidRDefault="00AD17CB" w:rsidP="00AD17CB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0"/>
          <w:szCs w:val="20"/>
        </w:rPr>
      </w:pPr>
      <w:r w:rsidRPr="00332025">
        <w:rPr>
          <w:rFonts w:ascii="Arial" w:hAnsi="Arial" w:cs="Arial"/>
          <w:sz w:val="20"/>
          <w:szCs w:val="20"/>
        </w:rPr>
        <w:t>GEPS review of key decisions/challenges from the past year</w:t>
      </w:r>
    </w:p>
    <w:p w:rsidR="00AD17CB" w:rsidRDefault="00AD17CB" w:rsidP="00AD17CB">
      <w:pPr>
        <w:rPr>
          <w:rFonts w:cs="Arial"/>
        </w:rPr>
      </w:pPr>
    </w:p>
    <w:p w:rsidR="00AD17CB" w:rsidRPr="00CD299A" w:rsidRDefault="00AD17CB" w:rsidP="00AD17CB">
      <w:pPr>
        <w:ind w:left="1440"/>
        <w:rPr>
          <w:rFonts w:cs="Arial"/>
          <w:i/>
          <w:sz w:val="18"/>
          <w:szCs w:val="18"/>
        </w:rPr>
      </w:pPr>
      <w:r w:rsidRPr="00CD299A">
        <w:rPr>
          <w:rFonts w:cs="Arial"/>
          <w:i/>
          <w:sz w:val="18"/>
          <w:szCs w:val="18"/>
        </w:rPr>
        <w:t>Discussion of the GEP website, and the need for the GEPS committee to:</w:t>
      </w:r>
    </w:p>
    <w:p w:rsidR="00AD17CB" w:rsidRPr="00CD299A" w:rsidRDefault="00AD17CB" w:rsidP="00AD17CB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i/>
          <w:sz w:val="18"/>
          <w:szCs w:val="18"/>
        </w:rPr>
      </w:pPr>
      <w:r w:rsidRPr="00CD299A">
        <w:rPr>
          <w:rFonts w:ascii="Arial" w:hAnsi="Arial" w:cs="Arial"/>
          <w:i/>
          <w:sz w:val="18"/>
          <w:szCs w:val="18"/>
        </w:rPr>
        <w:t>identify a set of proposals that can be used as exemplars</w:t>
      </w:r>
    </w:p>
    <w:p w:rsidR="00AD17CB" w:rsidRPr="00CD299A" w:rsidRDefault="00AD17CB" w:rsidP="00AD17CB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i/>
          <w:sz w:val="18"/>
          <w:szCs w:val="18"/>
        </w:rPr>
      </w:pPr>
      <w:r w:rsidRPr="00CD299A">
        <w:rPr>
          <w:rFonts w:ascii="Arial" w:hAnsi="Arial" w:cs="Arial"/>
          <w:i/>
          <w:sz w:val="18"/>
          <w:szCs w:val="18"/>
        </w:rPr>
        <w:lastRenderedPageBreak/>
        <w:t>define a procedure for requesting GEP course renewal and create a renewal form</w:t>
      </w:r>
    </w:p>
    <w:p w:rsidR="00AD17CB" w:rsidRDefault="00AD17CB" w:rsidP="00AD17CB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sz w:val="18"/>
          <w:szCs w:val="18"/>
        </w:rPr>
      </w:pPr>
      <w:r w:rsidRPr="00CD299A">
        <w:rPr>
          <w:rFonts w:ascii="Arial" w:hAnsi="Arial" w:cs="Arial"/>
          <w:i/>
          <w:sz w:val="18"/>
          <w:szCs w:val="18"/>
        </w:rPr>
        <w:t>create a template for GEP proposals</w:t>
      </w:r>
      <w:r w:rsidRPr="00CD299A">
        <w:rPr>
          <w:rFonts w:ascii="Arial" w:hAnsi="Arial" w:cs="Arial"/>
          <w:sz w:val="18"/>
          <w:szCs w:val="18"/>
        </w:rPr>
        <w:t xml:space="preserve"> </w:t>
      </w:r>
    </w:p>
    <w:p w:rsidR="00AD17CB" w:rsidRPr="00CD299A" w:rsidRDefault="00AD17CB" w:rsidP="00AD17CB">
      <w:pPr>
        <w:rPr>
          <w:rFonts w:cs="Arial"/>
          <w:sz w:val="18"/>
          <w:szCs w:val="18"/>
        </w:rPr>
      </w:pPr>
    </w:p>
    <w:p w:rsidR="00AD17CB" w:rsidRDefault="00AD17CB" w:rsidP="00AD17C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D17CB" w:rsidRDefault="00AD17CB" w:rsidP="00AD17CB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0"/>
          <w:szCs w:val="20"/>
        </w:rPr>
      </w:pPr>
      <w:r w:rsidRPr="00332025">
        <w:rPr>
          <w:rFonts w:ascii="Arial" w:hAnsi="Arial" w:cs="Arial"/>
          <w:sz w:val="20"/>
          <w:szCs w:val="20"/>
        </w:rPr>
        <w:t xml:space="preserve">Review of </w:t>
      </w:r>
      <w:proofErr w:type="spellStart"/>
      <w:r w:rsidRPr="00332025">
        <w:rPr>
          <w:rFonts w:ascii="Arial" w:hAnsi="Arial" w:cs="Arial"/>
          <w:sz w:val="20"/>
          <w:szCs w:val="20"/>
        </w:rPr>
        <w:t>MnTC</w:t>
      </w:r>
      <w:proofErr w:type="spellEnd"/>
      <w:r w:rsidRPr="00332025">
        <w:rPr>
          <w:rFonts w:ascii="Arial" w:hAnsi="Arial" w:cs="Arial"/>
          <w:sz w:val="20"/>
          <w:szCs w:val="20"/>
        </w:rPr>
        <w:t xml:space="preserve"> GEP ‘noncompliance’ let</w:t>
      </w:r>
      <w:r>
        <w:rPr>
          <w:rFonts w:ascii="Arial" w:hAnsi="Arial" w:cs="Arial"/>
          <w:sz w:val="20"/>
          <w:szCs w:val="20"/>
        </w:rPr>
        <w:t>ter, report on responses so far (</w:t>
      </w:r>
      <w:proofErr w:type="spellStart"/>
      <w:r>
        <w:rPr>
          <w:rFonts w:ascii="Arial" w:hAnsi="Arial" w:cs="Arial"/>
          <w:sz w:val="20"/>
          <w:szCs w:val="20"/>
        </w:rPr>
        <w:t>rrg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D17CB" w:rsidRDefault="00AD17CB" w:rsidP="00AD17CB">
      <w:pPr>
        <w:rPr>
          <w:rFonts w:cs="Arial"/>
        </w:rPr>
      </w:pPr>
    </w:p>
    <w:p w:rsidR="00AD17CB" w:rsidRPr="00CD299A" w:rsidRDefault="00AD17CB" w:rsidP="00AD17CB">
      <w:pPr>
        <w:ind w:left="1440"/>
        <w:rPr>
          <w:rFonts w:cs="Arial"/>
          <w:i/>
          <w:sz w:val="18"/>
          <w:szCs w:val="18"/>
        </w:rPr>
      </w:pPr>
      <w:r w:rsidRPr="00CD299A">
        <w:rPr>
          <w:rFonts w:cs="Arial"/>
          <w:i/>
          <w:sz w:val="18"/>
          <w:szCs w:val="18"/>
        </w:rPr>
        <w:t>Rita will put a response together and bring it back to the committee in late October</w:t>
      </w:r>
    </w:p>
    <w:p w:rsidR="00AD17CB" w:rsidRDefault="00AD17CB" w:rsidP="00AD17CB">
      <w:pPr>
        <w:rPr>
          <w:rFonts w:cs="Arial"/>
        </w:rPr>
      </w:pPr>
    </w:p>
    <w:p w:rsidR="00AD17CB" w:rsidRPr="00332025" w:rsidRDefault="00AD17CB" w:rsidP="00AD17CB">
      <w:pPr>
        <w:rPr>
          <w:rFonts w:cs="Arial"/>
        </w:rPr>
      </w:pPr>
    </w:p>
    <w:p w:rsidR="00AD17CB" w:rsidRDefault="00AD17CB" w:rsidP="00AD17CB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0"/>
          <w:szCs w:val="20"/>
        </w:rPr>
      </w:pPr>
      <w:r w:rsidRPr="00332025">
        <w:rPr>
          <w:rFonts w:ascii="Arial" w:hAnsi="Arial" w:cs="Arial"/>
          <w:sz w:val="20"/>
          <w:szCs w:val="20"/>
        </w:rPr>
        <w:t>Update from Lori Beseler/</w:t>
      </w:r>
      <w:proofErr w:type="spellStart"/>
      <w:r w:rsidRPr="00332025">
        <w:rPr>
          <w:rFonts w:ascii="Arial" w:hAnsi="Arial" w:cs="Arial"/>
          <w:sz w:val="20"/>
          <w:szCs w:val="20"/>
        </w:rPr>
        <w:t>MnTC</w:t>
      </w:r>
      <w:proofErr w:type="spellEnd"/>
      <w:r w:rsidRPr="00332025">
        <w:rPr>
          <w:rFonts w:ascii="Arial" w:hAnsi="Arial" w:cs="Arial"/>
          <w:sz w:val="20"/>
          <w:szCs w:val="20"/>
        </w:rPr>
        <w:t xml:space="preserve"> on double-listed courses (</w:t>
      </w:r>
      <w:proofErr w:type="spellStart"/>
      <w:r w:rsidRPr="00332025">
        <w:rPr>
          <w:rFonts w:ascii="Arial" w:hAnsi="Arial" w:cs="Arial"/>
          <w:sz w:val="20"/>
          <w:szCs w:val="20"/>
        </w:rPr>
        <w:t>rrg</w:t>
      </w:r>
      <w:proofErr w:type="spellEnd"/>
      <w:r w:rsidRPr="00332025">
        <w:rPr>
          <w:rFonts w:ascii="Arial" w:hAnsi="Arial" w:cs="Arial"/>
          <w:sz w:val="20"/>
          <w:szCs w:val="20"/>
        </w:rPr>
        <w:t>)</w:t>
      </w:r>
    </w:p>
    <w:p w:rsidR="00AD17CB" w:rsidRDefault="00AD17CB" w:rsidP="00AD17CB">
      <w:pPr>
        <w:rPr>
          <w:rFonts w:cs="Arial"/>
        </w:rPr>
      </w:pPr>
    </w:p>
    <w:p w:rsidR="00AD17CB" w:rsidRPr="00CD299A" w:rsidRDefault="00AD17CB" w:rsidP="00AD17CB">
      <w:pPr>
        <w:ind w:left="1440"/>
        <w:rPr>
          <w:rFonts w:cs="Arial"/>
          <w:i/>
          <w:sz w:val="18"/>
          <w:szCs w:val="18"/>
        </w:rPr>
      </w:pPr>
      <w:r w:rsidRPr="00CD299A">
        <w:rPr>
          <w:rFonts w:cs="Arial"/>
          <w:i/>
          <w:sz w:val="18"/>
          <w:szCs w:val="18"/>
        </w:rPr>
        <w:t>Rita passed around a list from Lori</w:t>
      </w:r>
      <w:r>
        <w:rPr>
          <w:rFonts w:cs="Arial"/>
          <w:i/>
          <w:sz w:val="18"/>
          <w:szCs w:val="18"/>
        </w:rPr>
        <w:t xml:space="preserve"> Beseler containing the</w:t>
      </w:r>
      <w:r w:rsidRPr="00CD299A">
        <w:rPr>
          <w:rFonts w:cs="Arial"/>
          <w:i/>
          <w:sz w:val="18"/>
          <w:szCs w:val="18"/>
        </w:rPr>
        <w:t xml:space="preserve"> GEP courses that still need course outlines</w:t>
      </w:r>
    </w:p>
    <w:p w:rsidR="00AD17CB" w:rsidRPr="006B3883" w:rsidRDefault="00AD17CB" w:rsidP="00AD17CB">
      <w:pPr>
        <w:rPr>
          <w:rFonts w:cs="Arial"/>
        </w:rPr>
      </w:pPr>
    </w:p>
    <w:p w:rsidR="00AD17CB" w:rsidRDefault="00AD17CB" w:rsidP="00AD17C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D17CB" w:rsidRDefault="00AD17CB" w:rsidP="00AD17CB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0"/>
          <w:szCs w:val="20"/>
        </w:rPr>
      </w:pPr>
      <w:r w:rsidRPr="00332025">
        <w:rPr>
          <w:rFonts w:ascii="Arial" w:hAnsi="Arial" w:cs="Arial"/>
          <w:sz w:val="20"/>
          <w:szCs w:val="20"/>
        </w:rPr>
        <w:t>Review of basic building blocks of GEP assessment plan</w:t>
      </w:r>
    </w:p>
    <w:p w:rsidR="00AD17CB" w:rsidRDefault="00AD17CB" w:rsidP="00AD17CB">
      <w:pPr>
        <w:rPr>
          <w:rFonts w:cs="Arial"/>
        </w:rPr>
      </w:pPr>
    </w:p>
    <w:p w:rsidR="00AD17CB" w:rsidRPr="00CD299A" w:rsidRDefault="00AD17CB" w:rsidP="00AD17CB">
      <w:pPr>
        <w:ind w:left="14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Rita outlined the building block of the GEP assessment plan that presented at the last A2C2 meeting</w:t>
      </w:r>
    </w:p>
    <w:p w:rsidR="00AD17CB" w:rsidRDefault="00AD17CB" w:rsidP="00AD17CB">
      <w:pPr>
        <w:rPr>
          <w:rFonts w:cs="Arial"/>
        </w:rPr>
      </w:pPr>
    </w:p>
    <w:p w:rsidR="00AD17CB" w:rsidRPr="00332025" w:rsidRDefault="00AD17CB" w:rsidP="00AD17CB">
      <w:pPr>
        <w:rPr>
          <w:rFonts w:cs="Arial"/>
        </w:rPr>
      </w:pPr>
    </w:p>
    <w:p w:rsidR="00AD17CB" w:rsidRDefault="00AD17CB" w:rsidP="00AD17CB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0"/>
          <w:szCs w:val="20"/>
        </w:rPr>
      </w:pPr>
      <w:r w:rsidRPr="00332025">
        <w:rPr>
          <w:rFonts w:ascii="Arial" w:hAnsi="Arial" w:cs="Arial"/>
          <w:sz w:val="20"/>
          <w:szCs w:val="20"/>
        </w:rPr>
        <w:t>Discussion of revisions/actions needed in the near future (re: A2C2 minutes from April on ‘next steps’ for the GEPS)</w:t>
      </w:r>
    </w:p>
    <w:p w:rsidR="00AD17CB" w:rsidRDefault="00AD17CB" w:rsidP="00AD17CB">
      <w:pPr>
        <w:rPr>
          <w:rFonts w:cs="Arial"/>
        </w:rPr>
      </w:pPr>
    </w:p>
    <w:p w:rsidR="00AD17CB" w:rsidRPr="00C955A3" w:rsidRDefault="00AD17CB" w:rsidP="00AD17CB">
      <w:pPr>
        <w:ind w:left="144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Further discussion of GEP course proposal templates</w:t>
      </w:r>
    </w:p>
    <w:p w:rsidR="00AD17CB" w:rsidRDefault="00AD17CB" w:rsidP="00AD17CB">
      <w:pPr>
        <w:rPr>
          <w:rFonts w:cs="Arial"/>
        </w:rPr>
      </w:pPr>
    </w:p>
    <w:p w:rsidR="00AD17CB" w:rsidRPr="00332025" w:rsidRDefault="00AD17CB" w:rsidP="00AD17CB">
      <w:pPr>
        <w:rPr>
          <w:rFonts w:cs="Arial"/>
        </w:rPr>
      </w:pPr>
    </w:p>
    <w:p w:rsidR="00AD17CB" w:rsidRPr="00332025" w:rsidRDefault="00AD17CB" w:rsidP="00AD17CB">
      <w:pPr>
        <w:pStyle w:val="ListParagraph"/>
        <w:numPr>
          <w:ilvl w:val="0"/>
          <w:numId w:val="7"/>
        </w:numPr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GEPS makeup</w:t>
      </w:r>
    </w:p>
    <w:p w:rsidR="00AD17CB" w:rsidRDefault="00AD17CB" w:rsidP="00AD17CB">
      <w:pPr>
        <w:rPr>
          <w:rStyle w:val="Strong"/>
          <w:b w:val="0"/>
          <w:bCs w:val="0"/>
        </w:rPr>
      </w:pPr>
    </w:p>
    <w:p w:rsidR="00AD17CB" w:rsidRPr="00BF63A9" w:rsidRDefault="00AD17CB" w:rsidP="00AD17CB">
      <w:pPr>
        <w:ind w:left="1440"/>
        <w:rPr>
          <w:rStyle w:val="Strong"/>
          <w:b w:val="0"/>
          <w:bCs w:val="0"/>
          <w:i/>
          <w:sz w:val="18"/>
          <w:szCs w:val="18"/>
        </w:rPr>
      </w:pPr>
      <w:r w:rsidRPr="00BF63A9">
        <w:rPr>
          <w:rStyle w:val="Strong"/>
          <w:i/>
          <w:sz w:val="18"/>
          <w:szCs w:val="18"/>
        </w:rPr>
        <w:t>GEPS still need</w:t>
      </w:r>
      <w:r>
        <w:rPr>
          <w:rStyle w:val="Strong"/>
          <w:i/>
          <w:sz w:val="18"/>
          <w:szCs w:val="18"/>
        </w:rPr>
        <w:t>s</w:t>
      </w:r>
      <w:r w:rsidRPr="00BF63A9">
        <w:rPr>
          <w:rStyle w:val="Strong"/>
          <w:i/>
          <w:sz w:val="18"/>
          <w:szCs w:val="18"/>
        </w:rPr>
        <w:t xml:space="preserve"> a representative from the</w:t>
      </w:r>
      <w:r>
        <w:rPr>
          <w:rStyle w:val="Strong"/>
          <w:i/>
          <w:sz w:val="18"/>
          <w:szCs w:val="18"/>
        </w:rPr>
        <w:t xml:space="preserve"> Physical Development</w:t>
      </w:r>
      <w:r w:rsidRPr="00BF63A9">
        <w:rPr>
          <w:rStyle w:val="Strong"/>
          <w:i/>
          <w:sz w:val="18"/>
          <w:szCs w:val="18"/>
        </w:rPr>
        <w:t xml:space="preserve"> and Wellness category. Tim will ask Lori Beseler to generate a list of departments that offer courses in the </w:t>
      </w:r>
      <w:r>
        <w:rPr>
          <w:rStyle w:val="Strong"/>
          <w:i/>
          <w:sz w:val="18"/>
          <w:szCs w:val="18"/>
        </w:rPr>
        <w:t>Physical Development</w:t>
      </w:r>
      <w:r w:rsidRPr="00BF63A9">
        <w:rPr>
          <w:rStyle w:val="Strong"/>
          <w:i/>
          <w:sz w:val="18"/>
          <w:szCs w:val="18"/>
        </w:rPr>
        <w:t xml:space="preserve"> and Wellness category</w:t>
      </w:r>
      <w:r>
        <w:rPr>
          <w:rStyle w:val="Strong"/>
          <w:i/>
          <w:sz w:val="18"/>
          <w:szCs w:val="18"/>
        </w:rPr>
        <w:t>.</w:t>
      </w:r>
    </w:p>
    <w:p w:rsidR="00515323" w:rsidRDefault="00515323" w:rsidP="00515323">
      <w:pPr>
        <w:pStyle w:val="ListParagraph"/>
      </w:pPr>
    </w:p>
    <w:p w:rsidR="00515323" w:rsidRDefault="00515323" w:rsidP="009B2ABE">
      <w:pPr>
        <w:pStyle w:val="ListParagraph"/>
        <w:numPr>
          <w:ilvl w:val="0"/>
          <w:numId w:val="1"/>
        </w:numPr>
      </w:pPr>
      <w:r>
        <w:t>Notifications</w:t>
      </w:r>
      <w:r w:rsidR="005B4C60">
        <w:t xml:space="preserve">: </w:t>
      </w:r>
    </w:p>
    <w:p w:rsidR="009B2ABE" w:rsidRDefault="009B2ABE" w:rsidP="009B2ABE">
      <w:pPr>
        <w:pStyle w:val="ListParagraph"/>
        <w:numPr>
          <w:ilvl w:val="1"/>
          <w:numId w:val="1"/>
        </w:numPr>
      </w:pPr>
      <w:r>
        <w:t>BANKED: MIS 472: Management of Local and Wide Area Networks (3)</w:t>
      </w:r>
    </w:p>
    <w:p w:rsidR="009B2ABE" w:rsidRDefault="009B2ABE" w:rsidP="009B2ABE">
      <w:pPr>
        <w:pStyle w:val="ListParagraph"/>
        <w:numPr>
          <w:ilvl w:val="1"/>
          <w:numId w:val="1"/>
        </w:numPr>
      </w:pPr>
      <w:r>
        <w:t>BANKED: BUSA 431: Real Estate Law (3)</w:t>
      </w:r>
    </w:p>
    <w:p w:rsidR="009B2ABE" w:rsidRDefault="009B2ABE" w:rsidP="009B2ABE">
      <w:pPr>
        <w:pStyle w:val="ListParagraph"/>
        <w:numPr>
          <w:ilvl w:val="1"/>
          <w:numId w:val="1"/>
        </w:numPr>
      </w:pPr>
      <w:r>
        <w:t>BANKED: MGMT 335: Forecasting Methods (3)</w:t>
      </w:r>
    </w:p>
    <w:p w:rsidR="009B2ABE" w:rsidRDefault="009B2ABE" w:rsidP="009B2ABE">
      <w:pPr>
        <w:pStyle w:val="ListParagraph"/>
        <w:numPr>
          <w:ilvl w:val="1"/>
          <w:numId w:val="1"/>
        </w:numPr>
      </w:pPr>
      <w:r>
        <w:t>BANKED: MGMT 445: Quality Improvement Methods (3)</w:t>
      </w:r>
    </w:p>
    <w:p w:rsidR="009B2ABE" w:rsidRDefault="009B2ABE" w:rsidP="009A515B">
      <w:pPr>
        <w:pStyle w:val="ListParagraph"/>
        <w:numPr>
          <w:ilvl w:val="1"/>
          <w:numId w:val="1"/>
        </w:numPr>
      </w:pPr>
      <w:r>
        <w:t>BANKED: MGMT 447: I</w:t>
      </w:r>
      <w:r w:rsidR="009A515B">
        <w:t>nternational Labor Relations (3)</w:t>
      </w:r>
    </w:p>
    <w:p w:rsidR="009A515B" w:rsidRDefault="009A515B" w:rsidP="009A515B">
      <w:pPr>
        <w:pStyle w:val="ListParagraph"/>
        <w:numPr>
          <w:ilvl w:val="1"/>
          <w:numId w:val="1"/>
        </w:numPr>
      </w:pPr>
      <w:r>
        <w:t>HERS 345: Emergency Response for the Professional Rescuer (3): Change in prerequisites; change in course description</w:t>
      </w:r>
    </w:p>
    <w:p w:rsidR="009A515B" w:rsidRPr="00BC25E5" w:rsidRDefault="000C59DB" w:rsidP="009A515B">
      <w:pPr>
        <w:pStyle w:val="ListParagraph"/>
        <w:numPr>
          <w:ilvl w:val="1"/>
          <w:numId w:val="1"/>
        </w:numPr>
      </w:pPr>
      <w:r w:rsidRPr="00BC25E5">
        <w:t>English: Change in existing major, minor, option, concentration, etc.</w:t>
      </w:r>
    </w:p>
    <w:p w:rsidR="009A515B" w:rsidRDefault="009A515B" w:rsidP="009A515B">
      <w:pPr>
        <w:pStyle w:val="ListParagraph"/>
      </w:pPr>
    </w:p>
    <w:p w:rsidR="009B2ABE" w:rsidRDefault="00515323" w:rsidP="00515323">
      <w:pPr>
        <w:pStyle w:val="ListParagraph"/>
        <w:numPr>
          <w:ilvl w:val="0"/>
          <w:numId w:val="1"/>
        </w:numPr>
      </w:pPr>
      <w:r>
        <w:t>Old Business:</w:t>
      </w:r>
      <w:r w:rsidR="00DD513D">
        <w:t xml:space="preserve"> </w:t>
      </w:r>
    </w:p>
    <w:p w:rsidR="009B2ABE" w:rsidRDefault="00DD513D" w:rsidP="009B2ABE">
      <w:pPr>
        <w:pStyle w:val="ListParagraph"/>
        <w:numPr>
          <w:ilvl w:val="1"/>
          <w:numId w:val="1"/>
        </w:numPr>
      </w:pPr>
      <w:r>
        <w:t>REG 3-4 Changes to Forms (Sent to Senate in April</w:t>
      </w:r>
      <w:r w:rsidR="009B2ABE">
        <w:t>)</w:t>
      </w:r>
      <w:r w:rsidR="004A1A68">
        <w:t>.</w:t>
      </w:r>
      <w:r w:rsidR="009B2ABE">
        <w:t xml:space="preserve"> Update</w:t>
      </w:r>
      <w:r w:rsidR="004A1A68">
        <w:t xml:space="preserve"> from Senate on 9/10, it is still in PP&amp;G.</w:t>
      </w:r>
    </w:p>
    <w:p w:rsidR="00515323" w:rsidRDefault="009B2ABE" w:rsidP="009B2ABE">
      <w:pPr>
        <w:pStyle w:val="ListParagraph"/>
        <w:numPr>
          <w:ilvl w:val="1"/>
          <w:numId w:val="1"/>
        </w:numPr>
      </w:pPr>
      <w:r>
        <w:t>Nominations for Election of New A2C2 Chairperson</w:t>
      </w:r>
      <w:r w:rsidR="002D3E49">
        <w:t xml:space="preserve"> (I would like to close nominations by 9/26/12, if A2C2 is agreeable to this; election could be held that day; entertain a motion to this effect??)</w:t>
      </w:r>
    </w:p>
    <w:p w:rsidR="009B2ABE" w:rsidRDefault="009B2ABE" w:rsidP="009B2ABE">
      <w:pPr>
        <w:pStyle w:val="ListParagraph"/>
        <w:numPr>
          <w:ilvl w:val="0"/>
          <w:numId w:val="6"/>
        </w:numPr>
      </w:pPr>
      <w:r>
        <w:t>Pat Paulson</w:t>
      </w:r>
    </w:p>
    <w:p w:rsidR="009B2ABE" w:rsidRDefault="002B2DE3" w:rsidP="009B2ABE">
      <w:pPr>
        <w:pStyle w:val="ListParagraph"/>
        <w:numPr>
          <w:ilvl w:val="0"/>
          <w:numId w:val="6"/>
        </w:numPr>
      </w:pPr>
      <w:r>
        <w:lastRenderedPageBreak/>
        <w:t>Other</w:t>
      </w:r>
    </w:p>
    <w:p w:rsidR="00515323" w:rsidRDefault="00515323" w:rsidP="00515323">
      <w:pPr>
        <w:pStyle w:val="ListParagraph"/>
      </w:pPr>
    </w:p>
    <w:p w:rsidR="005637D6" w:rsidRDefault="00515323" w:rsidP="009B2ABE">
      <w:pPr>
        <w:pStyle w:val="ListParagraph"/>
        <w:numPr>
          <w:ilvl w:val="0"/>
          <w:numId w:val="1"/>
        </w:numPr>
      </w:pPr>
      <w:r>
        <w:t>New Business:</w:t>
      </w:r>
    </w:p>
    <w:p w:rsidR="003E3DF1" w:rsidRPr="00BC25E5" w:rsidRDefault="003E3DF1" w:rsidP="003E3DF1">
      <w:pPr>
        <w:numPr>
          <w:ilvl w:val="1"/>
          <w:numId w:val="1"/>
        </w:numPr>
      </w:pPr>
      <w:bookmarkStart w:id="0" w:name="_GoBack"/>
      <w:r w:rsidRPr="00BC25E5">
        <w:t>MNSCU Forms for New and Revised Programs: Lori Beseler</w:t>
      </w:r>
    </w:p>
    <w:p w:rsidR="003E3DF1" w:rsidRPr="00BC25E5" w:rsidRDefault="003E3DF1" w:rsidP="009D2D35">
      <w:pPr>
        <w:numPr>
          <w:ilvl w:val="1"/>
          <w:numId w:val="1"/>
        </w:numPr>
      </w:pPr>
      <w:r w:rsidRPr="00BC25E5">
        <w:t>Course Outlines: Lori Beseler MNSCU Forms for New and Revised Programs: Lori Beseler</w:t>
      </w:r>
      <w:r w:rsidR="004A1A68" w:rsidRPr="00BC25E5">
        <w:t xml:space="preserve"> spoke.  </w:t>
      </w:r>
      <w:r w:rsidR="004A1A68" w:rsidRPr="00BC25E5">
        <w:br/>
      </w:r>
      <w:proofErr w:type="spellStart"/>
      <w:r w:rsidR="004A1A68" w:rsidRPr="00BC25E5">
        <w:t>MnSCU</w:t>
      </w:r>
      <w:proofErr w:type="spellEnd"/>
      <w:r w:rsidR="004A1A68" w:rsidRPr="00BC25E5">
        <w:t xml:space="preserve"> has a new website:  </w:t>
      </w:r>
      <w:r w:rsidR="004A1A68" w:rsidRPr="00BC25E5">
        <w:br/>
      </w:r>
      <w:hyperlink r:id="rId6" w:history="1">
        <w:r w:rsidR="004A1A68" w:rsidRPr="00BC25E5">
          <w:rPr>
            <w:rStyle w:val="Hyperlink"/>
            <w:color w:val="auto"/>
          </w:rPr>
          <w:t>http://www.academicaffairs.mnscu.edu/academicprograms/</w:t>
        </w:r>
      </w:hyperlink>
      <w:r w:rsidR="004A1A68" w:rsidRPr="00BC25E5">
        <w:t xml:space="preserve"> </w:t>
      </w:r>
      <w:r w:rsidR="004A1A68" w:rsidRPr="00BC25E5">
        <w:br/>
      </w:r>
      <w:proofErr w:type="gramStart"/>
      <w:r w:rsidR="004A1A68" w:rsidRPr="00BC25E5">
        <w:t>This</w:t>
      </w:r>
      <w:proofErr w:type="gramEnd"/>
      <w:r w:rsidR="004A1A68" w:rsidRPr="00BC25E5">
        <w:t xml:space="preserve"> is limited to programs-not courses.</w:t>
      </w:r>
      <w:r w:rsidR="009D2D35" w:rsidRPr="00BC25E5">
        <w:br/>
        <w:t xml:space="preserve">Question as to whether information provided to this </w:t>
      </w:r>
      <w:proofErr w:type="spellStart"/>
      <w:r w:rsidR="009D2D35" w:rsidRPr="00BC25E5">
        <w:t>MnSCU</w:t>
      </w:r>
      <w:proofErr w:type="spellEnd"/>
      <w:r w:rsidR="009D2D35" w:rsidRPr="00BC25E5">
        <w:t xml:space="preserve"> site must be in agreement with information provided to GEPS, Ms. Beseler to investigate.  To start, Lori Beseler will be the person entering information at this </w:t>
      </w:r>
      <w:proofErr w:type="gramStart"/>
      <w:r w:rsidR="009D2D35" w:rsidRPr="00BC25E5">
        <w:t>site,</w:t>
      </w:r>
      <w:proofErr w:type="gramEnd"/>
      <w:r w:rsidR="009D2D35" w:rsidRPr="00BC25E5">
        <w:t xml:space="preserve"> eventually departments may be asked to enter the information.</w:t>
      </w:r>
      <w:r w:rsidR="009D2D35" w:rsidRPr="00BC25E5">
        <w:br/>
        <w:t xml:space="preserve">Electronic submission of paperwork will be helpful because </w:t>
      </w:r>
      <w:proofErr w:type="spellStart"/>
      <w:r w:rsidR="009D2D35" w:rsidRPr="00BC25E5">
        <w:t>MnSCU</w:t>
      </w:r>
      <w:proofErr w:type="spellEnd"/>
      <w:r w:rsidR="009D2D35" w:rsidRPr="00BC25E5">
        <w:t xml:space="preserve"> is requiring .</w:t>
      </w:r>
      <w:proofErr w:type="spellStart"/>
      <w:r w:rsidR="009D2D35" w:rsidRPr="00BC25E5">
        <w:t>pdf</w:t>
      </w:r>
      <w:proofErr w:type="spellEnd"/>
      <w:r w:rsidR="009D2D35" w:rsidRPr="00BC25E5">
        <w:t xml:space="preserve"> files.</w:t>
      </w:r>
      <w:r w:rsidR="009D2D35" w:rsidRPr="00BC25E5">
        <w:br/>
        <w:t>Course outlines are available on the following website</w:t>
      </w:r>
      <w:proofErr w:type="gramStart"/>
      <w:r w:rsidR="009D2D35" w:rsidRPr="00BC25E5">
        <w:t>:</w:t>
      </w:r>
      <w:proofErr w:type="gramEnd"/>
      <w:r w:rsidR="009D2D35" w:rsidRPr="00BC25E5">
        <w:br/>
      </w:r>
      <w:hyperlink r:id="rId7" w:history="1">
        <w:r w:rsidR="009D2D35" w:rsidRPr="00BC25E5">
          <w:rPr>
            <w:rStyle w:val="Hyperlink"/>
            <w:color w:val="auto"/>
          </w:rPr>
          <w:t>https://webproc.mnscu.edu/registration/viewCourseOutlines.do?campusid=074</w:t>
        </w:r>
      </w:hyperlink>
      <w:r w:rsidR="009D2D35" w:rsidRPr="00BC25E5">
        <w:t xml:space="preserve"> </w:t>
      </w:r>
      <w:r w:rsidR="009D2D35" w:rsidRPr="00BC25E5">
        <w:br/>
        <w:t>The course outlines are searchable by semester and subject.</w:t>
      </w:r>
      <w:r w:rsidR="009D2D35" w:rsidRPr="00BC25E5">
        <w:br/>
      </w:r>
      <w:r w:rsidR="009D2D35" w:rsidRPr="00BC25E5">
        <w:br/>
        <w:t>The General Education Program course information is available at:</w:t>
      </w:r>
      <w:r w:rsidR="009D2D35" w:rsidRPr="00BC25E5">
        <w:br/>
      </w:r>
      <w:hyperlink r:id="rId8" w:history="1">
        <w:r w:rsidR="009D2D35" w:rsidRPr="00BC25E5">
          <w:rPr>
            <w:rStyle w:val="Hyperlink"/>
            <w:color w:val="auto"/>
          </w:rPr>
          <w:t>http://www.winona.edu/registrar/GeneralEducationProgram.asp</w:t>
        </w:r>
      </w:hyperlink>
      <w:r w:rsidR="009D2D35" w:rsidRPr="00BC25E5">
        <w:t xml:space="preserve"> </w:t>
      </w:r>
    </w:p>
    <w:p w:rsidR="009D2D35" w:rsidRPr="00BC25E5" w:rsidRDefault="009D2D35" w:rsidP="009D2D35">
      <w:pPr>
        <w:ind w:left="1080"/>
      </w:pPr>
      <w:r w:rsidRPr="00BC25E5">
        <w:br/>
        <w:t>Departments are asked to review the list of accepted courses for accuracy at</w:t>
      </w:r>
      <w:proofErr w:type="gramStart"/>
      <w:r w:rsidRPr="00BC25E5">
        <w:t>:</w:t>
      </w:r>
      <w:proofErr w:type="gramEnd"/>
      <w:r w:rsidRPr="00BC25E5">
        <w:br/>
      </w:r>
      <w:hyperlink r:id="rId9" w:history="1">
        <w:r w:rsidRPr="00BC25E5">
          <w:rPr>
            <w:rStyle w:val="Hyperlink"/>
            <w:color w:val="auto"/>
          </w:rPr>
          <w:t>http://www.winona.edu/registrar/Media/Courses_Accepted_for_WSU_MNTC_GE_9-12-12.pdf</w:t>
        </w:r>
      </w:hyperlink>
      <w:r w:rsidRPr="00BC25E5">
        <w:t xml:space="preserve"> </w:t>
      </w:r>
    </w:p>
    <w:p w:rsidR="003E3DF1" w:rsidRPr="00BC25E5" w:rsidRDefault="003E3DF1" w:rsidP="003E3DF1">
      <w:pPr>
        <w:ind w:left="1080"/>
      </w:pPr>
    </w:p>
    <w:bookmarkEnd w:id="0"/>
    <w:p w:rsidR="00515323" w:rsidRDefault="00515323" w:rsidP="009B2ABE">
      <w:pPr>
        <w:pStyle w:val="ListParagraph"/>
        <w:numPr>
          <w:ilvl w:val="0"/>
          <w:numId w:val="1"/>
        </w:numPr>
      </w:pPr>
      <w:r>
        <w:t>Adjournment</w:t>
      </w:r>
      <w:r w:rsidR="00D0034B">
        <w:t>-the meeting was adjourned at 4:</w:t>
      </w:r>
      <w:r w:rsidR="00E8153A">
        <w:t>02</w:t>
      </w:r>
      <w:r w:rsidR="00D0034B">
        <w:t xml:space="preserve">pm by </w:t>
      </w:r>
      <w:r w:rsidR="00E8153A">
        <w:t>Ed Thompson</w:t>
      </w:r>
      <w:r w:rsidR="00D0034B">
        <w:t>.</w:t>
      </w:r>
    </w:p>
    <w:sectPr w:rsidR="00515323" w:rsidSect="004344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1AF"/>
    <w:multiLevelType w:val="hybridMultilevel"/>
    <w:tmpl w:val="4BEAC418"/>
    <w:lvl w:ilvl="0" w:tplc="2A64881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0DA230D"/>
    <w:multiLevelType w:val="hybridMultilevel"/>
    <w:tmpl w:val="AF828CE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352F0280"/>
    <w:multiLevelType w:val="hybridMultilevel"/>
    <w:tmpl w:val="036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54BF5DCD"/>
    <w:multiLevelType w:val="hybridMultilevel"/>
    <w:tmpl w:val="1A046890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4E80C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DCD453FE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71"/>
    <w:rsid w:val="00043F22"/>
    <w:rsid w:val="00052786"/>
    <w:rsid w:val="00071851"/>
    <w:rsid w:val="0007284E"/>
    <w:rsid w:val="000C4171"/>
    <w:rsid w:val="000C59DB"/>
    <w:rsid w:val="000E5212"/>
    <w:rsid w:val="00126D58"/>
    <w:rsid w:val="00176124"/>
    <w:rsid w:val="001E579B"/>
    <w:rsid w:val="00201D3B"/>
    <w:rsid w:val="00207971"/>
    <w:rsid w:val="002B2DE3"/>
    <w:rsid w:val="002B75CA"/>
    <w:rsid w:val="002D3E49"/>
    <w:rsid w:val="003441C1"/>
    <w:rsid w:val="003741FB"/>
    <w:rsid w:val="003A1F3A"/>
    <w:rsid w:val="003B3956"/>
    <w:rsid w:val="003E3DF1"/>
    <w:rsid w:val="00402589"/>
    <w:rsid w:val="00427C7A"/>
    <w:rsid w:val="00434491"/>
    <w:rsid w:val="0046681C"/>
    <w:rsid w:val="004909AF"/>
    <w:rsid w:val="004A1A68"/>
    <w:rsid w:val="004A45CA"/>
    <w:rsid w:val="004B1A0A"/>
    <w:rsid w:val="00515323"/>
    <w:rsid w:val="0053506B"/>
    <w:rsid w:val="005637D6"/>
    <w:rsid w:val="005B4C60"/>
    <w:rsid w:val="00610663"/>
    <w:rsid w:val="006D491F"/>
    <w:rsid w:val="00772779"/>
    <w:rsid w:val="007D0B52"/>
    <w:rsid w:val="007E08C1"/>
    <w:rsid w:val="007E1238"/>
    <w:rsid w:val="00855879"/>
    <w:rsid w:val="0089106F"/>
    <w:rsid w:val="008E2AEE"/>
    <w:rsid w:val="00952F08"/>
    <w:rsid w:val="009954DD"/>
    <w:rsid w:val="009A515B"/>
    <w:rsid w:val="009B2ABE"/>
    <w:rsid w:val="009B6EED"/>
    <w:rsid w:val="009B73B0"/>
    <w:rsid w:val="009D2D35"/>
    <w:rsid w:val="00A02C1D"/>
    <w:rsid w:val="00A3050E"/>
    <w:rsid w:val="00A83BA7"/>
    <w:rsid w:val="00AD17CB"/>
    <w:rsid w:val="00AE570E"/>
    <w:rsid w:val="00AF4134"/>
    <w:rsid w:val="00AF6C41"/>
    <w:rsid w:val="00B159A6"/>
    <w:rsid w:val="00B322D0"/>
    <w:rsid w:val="00B83C44"/>
    <w:rsid w:val="00B92983"/>
    <w:rsid w:val="00BC25E5"/>
    <w:rsid w:val="00BE00B0"/>
    <w:rsid w:val="00C5294D"/>
    <w:rsid w:val="00C573DA"/>
    <w:rsid w:val="00C72393"/>
    <w:rsid w:val="00CA2380"/>
    <w:rsid w:val="00CC4057"/>
    <w:rsid w:val="00D0034B"/>
    <w:rsid w:val="00D0412C"/>
    <w:rsid w:val="00D50523"/>
    <w:rsid w:val="00D85EE4"/>
    <w:rsid w:val="00DD513D"/>
    <w:rsid w:val="00E41DB7"/>
    <w:rsid w:val="00E6023D"/>
    <w:rsid w:val="00E8153A"/>
    <w:rsid w:val="00E81F22"/>
    <w:rsid w:val="00EC7A42"/>
    <w:rsid w:val="00E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23"/>
    <w:pPr>
      <w:ind w:left="720"/>
      <w:contextualSpacing/>
    </w:pPr>
  </w:style>
  <w:style w:type="table" w:styleId="TableGrid">
    <w:name w:val="Table Grid"/>
    <w:basedOn w:val="TableNormal"/>
    <w:rsid w:val="00515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D17CB"/>
    <w:rPr>
      <w:b/>
      <w:bCs/>
    </w:rPr>
  </w:style>
  <w:style w:type="character" w:styleId="Hyperlink">
    <w:name w:val="Hyperlink"/>
    <w:basedOn w:val="DefaultParagraphFont"/>
    <w:rsid w:val="004A1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23"/>
    <w:pPr>
      <w:ind w:left="720"/>
      <w:contextualSpacing/>
    </w:pPr>
  </w:style>
  <w:style w:type="table" w:styleId="TableGrid">
    <w:name w:val="Table Grid"/>
    <w:basedOn w:val="TableNormal"/>
    <w:rsid w:val="00515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D17CB"/>
    <w:rPr>
      <w:b/>
      <w:bCs/>
    </w:rPr>
  </w:style>
  <w:style w:type="character" w:styleId="Hyperlink">
    <w:name w:val="Hyperlink"/>
    <w:basedOn w:val="DefaultParagraphFont"/>
    <w:rsid w:val="004A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ona.edu/registrar/GeneralEducationProgram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proc.mnscu.edu/registration/viewCourseOutlines.do?campusid=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caffairs.mnscu.edu/academicprogram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nona.edu/registrar/Media/Courses_Accepted_for_WSU_MNTC_GE_9-12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3</cp:revision>
  <dcterms:created xsi:type="dcterms:W3CDTF">2012-09-19T16:15:00Z</dcterms:created>
  <dcterms:modified xsi:type="dcterms:W3CDTF">2012-09-20T14:14:00Z</dcterms:modified>
</cp:coreProperties>
</file>